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C4" w:rsidRPr="00E70A43" w:rsidRDefault="005248C4" w:rsidP="002E04A2">
      <w:pPr>
        <w:pStyle w:val="Default"/>
        <w:rPr>
          <w:b/>
          <w:color w:val="auto"/>
          <w:sz w:val="20"/>
          <w:szCs w:val="20"/>
        </w:rPr>
      </w:pPr>
    </w:p>
    <w:p w:rsidR="00B24CFA" w:rsidRDefault="00B24CF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24CFA" w:rsidRPr="002E70FA" w:rsidRDefault="004A4D3D">
      <w:pPr>
        <w:pStyle w:val="Default"/>
        <w:jc w:val="center"/>
        <w:rPr>
          <w:rStyle w:val="ad"/>
          <w:rFonts w:eastAsia="Times New Roman"/>
          <w:color w:val="auto"/>
          <w:lang w:eastAsia="ru-RU"/>
        </w:rPr>
      </w:pPr>
      <w:r w:rsidRPr="002E70FA">
        <w:rPr>
          <w:rStyle w:val="ad"/>
          <w:rFonts w:eastAsia="Times New Roman"/>
          <w:bCs w:val="0"/>
          <w:color w:val="auto"/>
          <w:lang w:eastAsia="ru-RU"/>
        </w:rPr>
        <w:t xml:space="preserve">Требования </w:t>
      </w:r>
      <w:r w:rsidR="00D1314E">
        <w:rPr>
          <w:rStyle w:val="ad"/>
          <w:rFonts w:eastAsia="Times New Roman"/>
          <w:bCs w:val="0"/>
          <w:color w:val="auto"/>
          <w:lang w:eastAsia="ru-RU"/>
        </w:rPr>
        <w:t xml:space="preserve">поставщика </w:t>
      </w:r>
      <w:r w:rsidRPr="002E70FA">
        <w:rPr>
          <w:rStyle w:val="ad"/>
          <w:rFonts w:eastAsia="Times New Roman"/>
          <w:bCs w:val="0"/>
          <w:color w:val="auto"/>
          <w:lang w:eastAsia="ru-RU"/>
        </w:rPr>
        <w:t xml:space="preserve">к качеству </w:t>
      </w:r>
      <w:r w:rsidR="00D1314E">
        <w:rPr>
          <w:rStyle w:val="ad"/>
          <w:rFonts w:eastAsia="Times New Roman"/>
          <w:bCs w:val="0"/>
          <w:color w:val="auto"/>
          <w:lang w:eastAsia="ru-RU"/>
        </w:rPr>
        <w:t>Товара</w:t>
      </w:r>
    </w:p>
    <w:p w:rsidR="004A4D3D" w:rsidRPr="004A4D3D" w:rsidRDefault="004A4D3D" w:rsidP="004A4D3D">
      <w:pPr>
        <w:pStyle w:val="ac"/>
        <w:rPr>
          <w:rStyle w:val="ad"/>
        </w:rPr>
      </w:pPr>
      <w:r w:rsidRPr="008D287F">
        <w:rPr>
          <w:rStyle w:val="ad"/>
        </w:rPr>
        <w:t>1</w:t>
      </w:r>
      <w:r w:rsidRPr="004A4D3D">
        <w:rPr>
          <w:rStyle w:val="ad"/>
        </w:rPr>
        <w:t>. Предельные отклонения в линейных размерах</w:t>
      </w:r>
    </w:p>
    <w:p w:rsidR="004A4D3D" w:rsidRPr="004A4D3D" w:rsidRDefault="004A4D3D" w:rsidP="004A4D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3D">
        <w:rPr>
          <w:rFonts w:ascii="Times New Roman" w:hAnsi="Times New Roman" w:cs="Times New Roman"/>
          <w:sz w:val="24"/>
          <w:szCs w:val="24"/>
        </w:rPr>
        <w:t>ООО «Фасадель» производит мебельные детали и фасады по "среднему" классу точности.</w:t>
      </w:r>
    </w:p>
    <w:p w:rsidR="004A4D3D" w:rsidRPr="004A4D3D" w:rsidRDefault="004A4D3D" w:rsidP="004A4D3D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3D">
        <w:rPr>
          <w:rFonts w:ascii="Times New Roman" w:hAnsi="Times New Roman" w:cs="Times New Roman"/>
          <w:sz w:val="24"/>
          <w:szCs w:val="24"/>
        </w:rPr>
        <w:t>"Средний" класс точности устанавливает следующие предельные отклонения в линейных размерах:</w:t>
      </w:r>
    </w:p>
    <w:tbl>
      <w:tblPr>
        <w:tblW w:w="49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78"/>
        <w:gridCol w:w="2478"/>
      </w:tblGrid>
      <w:tr w:rsidR="004A4D3D" w:rsidRPr="004A4D3D" w:rsidTr="004A4D3D">
        <w:trPr>
          <w:trHeight w:val="531"/>
          <w:jc w:val="center"/>
        </w:trPr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Интервалы размеров (мм)</w:t>
            </w: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отклонения (мм)</w:t>
            </w:r>
          </w:p>
        </w:tc>
      </w:tr>
      <w:tr w:rsidR="004A4D3D" w:rsidRPr="004A4D3D" w:rsidTr="004A4D3D">
        <w:trPr>
          <w:trHeight w:val="376"/>
          <w:jc w:val="center"/>
        </w:trPr>
        <w:tc>
          <w:tcPr>
            <w:tcW w:w="2478" w:type="dxa"/>
            <w:vMerge w:val="restart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Св.50 до 120</w:t>
            </w: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+ 0,6</w:t>
            </w:r>
          </w:p>
        </w:tc>
      </w:tr>
      <w:tr w:rsidR="004A4D3D" w:rsidRPr="004A4D3D" w:rsidTr="004A4D3D">
        <w:trPr>
          <w:trHeight w:val="314"/>
          <w:jc w:val="center"/>
        </w:trPr>
        <w:tc>
          <w:tcPr>
            <w:tcW w:w="0" w:type="auto"/>
            <w:vMerge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- 0,6</w:t>
            </w:r>
          </w:p>
        </w:tc>
      </w:tr>
      <w:tr w:rsidR="004A4D3D" w:rsidRPr="004A4D3D" w:rsidTr="004A4D3D">
        <w:trPr>
          <w:trHeight w:val="314"/>
          <w:jc w:val="center"/>
        </w:trPr>
        <w:tc>
          <w:tcPr>
            <w:tcW w:w="2478" w:type="dxa"/>
            <w:vMerge w:val="restart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120 до 315</w:t>
            </w: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+ 1,0</w:t>
            </w:r>
          </w:p>
        </w:tc>
      </w:tr>
      <w:tr w:rsidR="004A4D3D" w:rsidRPr="004A4D3D" w:rsidTr="004A4D3D">
        <w:trPr>
          <w:trHeight w:val="314"/>
          <w:jc w:val="center"/>
        </w:trPr>
        <w:tc>
          <w:tcPr>
            <w:tcW w:w="0" w:type="auto"/>
            <w:vMerge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</w:tr>
      <w:tr w:rsidR="004A4D3D" w:rsidRPr="004A4D3D" w:rsidTr="004A4D3D">
        <w:trPr>
          <w:trHeight w:val="314"/>
          <w:jc w:val="center"/>
        </w:trPr>
        <w:tc>
          <w:tcPr>
            <w:tcW w:w="2478" w:type="dxa"/>
            <w:vMerge w:val="restart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315 до 1000</w:t>
            </w: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+ 1,6</w:t>
            </w:r>
          </w:p>
        </w:tc>
      </w:tr>
      <w:tr w:rsidR="004A4D3D" w:rsidRPr="004A4D3D" w:rsidTr="004A4D3D">
        <w:trPr>
          <w:trHeight w:val="314"/>
          <w:jc w:val="center"/>
        </w:trPr>
        <w:tc>
          <w:tcPr>
            <w:tcW w:w="0" w:type="auto"/>
            <w:vMerge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</w:t>
            </w:r>
          </w:p>
        </w:tc>
      </w:tr>
      <w:tr w:rsidR="004A4D3D" w:rsidRPr="004A4D3D" w:rsidTr="004A4D3D">
        <w:trPr>
          <w:trHeight w:val="314"/>
          <w:jc w:val="center"/>
        </w:trPr>
        <w:tc>
          <w:tcPr>
            <w:tcW w:w="2478" w:type="dxa"/>
            <w:vMerge w:val="restart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1000 до 2000 </w:t>
            </w: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+ 2,2</w:t>
            </w:r>
          </w:p>
        </w:tc>
      </w:tr>
      <w:tr w:rsidR="004A4D3D" w:rsidRPr="004A4D3D" w:rsidTr="004A4D3D">
        <w:trPr>
          <w:trHeight w:val="423"/>
          <w:jc w:val="center"/>
        </w:trPr>
        <w:tc>
          <w:tcPr>
            <w:tcW w:w="0" w:type="auto"/>
            <w:vMerge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- 2,2</w:t>
            </w:r>
          </w:p>
        </w:tc>
      </w:tr>
    </w:tbl>
    <w:p w:rsidR="004A4D3D" w:rsidRPr="004A4D3D" w:rsidRDefault="004A4D3D" w:rsidP="004A4D3D">
      <w:pPr>
        <w:pStyle w:val="ac"/>
        <w:rPr>
          <w:rStyle w:val="ad"/>
        </w:rPr>
      </w:pPr>
    </w:p>
    <w:p w:rsidR="004A4D3D" w:rsidRPr="004A4D3D" w:rsidRDefault="004A4D3D" w:rsidP="004A4D3D">
      <w:pPr>
        <w:pStyle w:val="ac"/>
        <w:rPr>
          <w:rStyle w:val="ad"/>
        </w:rPr>
      </w:pPr>
      <w:r>
        <w:rPr>
          <w:rStyle w:val="ad"/>
        </w:rPr>
        <w:t> </w:t>
      </w:r>
      <w:r>
        <w:rPr>
          <w:rStyle w:val="ad"/>
          <w:lang w:val="en-US"/>
        </w:rPr>
        <w:t>2</w:t>
      </w:r>
      <w:r w:rsidRPr="004A4D3D">
        <w:rPr>
          <w:rStyle w:val="ad"/>
        </w:rPr>
        <w:t>. Покоробленность изделий</w:t>
      </w:r>
    </w:p>
    <w:p w:rsidR="004A4D3D" w:rsidRPr="008D287F" w:rsidRDefault="004A4D3D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4A4D3D">
        <w:rPr>
          <w:rFonts w:ascii="Times New Roman" w:hAnsi="Times New Roman" w:cs="Times New Roman"/>
          <w:sz w:val="24"/>
          <w:szCs w:val="24"/>
        </w:rPr>
        <w:t xml:space="preserve">        Технические условия на основании: ГОСТ 16371-2014 (Мебель. Общие технические условия) и ГОСТ 20400-2013 «Продукция мебельного производства. Термины и определения».</w:t>
      </w:r>
    </w:p>
    <w:p w:rsidR="004A4D3D" w:rsidRPr="004A4D3D" w:rsidRDefault="004A4D3D" w:rsidP="003622F5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3D">
        <w:rPr>
          <w:rFonts w:ascii="Times New Roman" w:hAnsi="Times New Roman" w:cs="Times New Roman"/>
          <w:sz w:val="24"/>
          <w:szCs w:val="24"/>
        </w:rPr>
        <w:t>ГОСТ 16371-2014, п.5.2.3: Покоробленность щитовых деталей длиной и (или) шириной 300 мм и менее не нормируется. Покоробленность щитовых деталей в изделии не должна превышать:</w:t>
      </w:r>
    </w:p>
    <w:tbl>
      <w:tblPr>
        <w:tblW w:w="57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665"/>
        <w:gridCol w:w="1121"/>
      </w:tblGrid>
      <w:tr w:rsidR="004A4D3D" w:rsidRPr="004A4D3D" w:rsidTr="004A4D3D">
        <w:trPr>
          <w:trHeight w:val="381"/>
          <w:jc w:val="center"/>
        </w:trPr>
        <w:tc>
          <w:tcPr>
            <w:tcW w:w="0" w:type="auto"/>
            <w:gridSpan w:val="2"/>
            <w:shd w:val="clear" w:color="auto" w:fill="auto"/>
          </w:tcPr>
          <w:p w:rsidR="004A4D3D" w:rsidRPr="004A4D3D" w:rsidRDefault="004A4D3D" w:rsidP="004A4D3D">
            <w:pPr>
              <w:pStyle w:val="ac"/>
              <w:rPr>
                <w:color w:val="000000"/>
              </w:rPr>
            </w:pPr>
            <w:r w:rsidRPr="004A4D3D">
              <w:rPr>
                <w:rStyle w:val="ad"/>
                <w:color w:val="000000"/>
              </w:rPr>
              <w:t>Для дверей: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Длиной и шириной более 300 мм и менее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 мм;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Длиной более 600 мм и шириной менее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1,2 мм;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Длиной и шириной более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2,2 мм;</w:t>
            </w:r>
          </w:p>
        </w:tc>
      </w:tr>
      <w:tr w:rsidR="004A4D3D" w:rsidRPr="004A4D3D" w:rsidTr="004A4D3D">
        <w:trPr>
          <w:trHeight w:val="381"/>
          <w:jc w:val="center"/>
        </w:trPr>
        <w:tc>
          <w:tcPr>
            <w:tcW w:w="5786" w:type="dxa"/>
            <w:gridSpan w:val="2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Для других деталей: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Длиной и шириной более 300 мм и менее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0,4 мм;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Длиной более 600 мм и шириной менее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 мм;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Длиной и шириной более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 мм;</w:t>
            </w:r>
          </w:p>
        </w:tc>
      </w:tr>
      <w:tr w:rsidR="004A4D3D" w:rsidRPr="004A4D3D" w:rsidTr="004A4D3D">
        <w:trPr>
          <w:trHeight w:val="381"/>
          <w:jc w:val="center"/>
        </w:trPr>
        <w:tc>
          <w:tcPr>
            <w:tcW w:w="5786" w:type="dxa"/>
            <w:gridSpan w:val="2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Для крышек столов: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Длиной и шириной более 300 мм и менее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0,3 мм;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Длиной более 600 мм и шириной менее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\1,5 мм;</w:t>
            </w:r>
          </w:p>
        </w:tc>
      </w:tr>
      <w:tr w:rsidR="004A4D3D" w:rsidRPr="004A4D3D" w:rsidTr="004A4D3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Длиной и шириной более 600 мм</w:t>
            </w:r>
          </w:p>
        </w:tc>
        <w:tc>
          <w:tcPr>
            <w:tcW w:w="0" w:type="auto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4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2,7 мм;</w:t>
            </w:r>
          </w:p>
        </w:tc>
      </w:tr>
    </w:tbl>
    <w:p w:rsidR="004A4D3D" w:rsidRPr="004A4D3D" w:rsidRDefault="004A4D3D" w:rsidP="003622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D3D" w:rsidRPr="004A4D3D" w:rsidRDefault="004A4D3D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4A4D3D">
        <w:rPr>
          <w:rFonts w:ascii="Times New Roman" w:hAnsi="Times New Roman" w:cs="Times New Roman"/>
          <w:sz w:val="24"/>
          <w:szCs w:val="24"/>
        </w:rPr>
        <w:t xml:space="preserve">*Для уменьшение покоробленности мебельных деталей на обратной стороне делаются компенсационные фрезеровки в виде креста или параллельных линий шириной 5 мм. . По желанию заказчика компенсационная выборка может не выполняться и </w:t>
      </w:r>
      <w:r w:rsidR="002E70FA">
        <w:rPr>
          <w:rFonts w:ascii="Times New Roman" w:hAnsi="Times New Roman" w:cs="Times New Roman"/>
          <w:sz w:val="24"/>
          <w:szCs w:val="24"/>
        </w:rPr>
        <w:t>быть заменена на фрезеровку под</w:t>
      </w:r>
      <w:r w:rsidR="002E70FA" w:rsidRPr="002E70FA">
        <w:rPr>
          <w:rFonts w:ascii="Times New Roman" w:hAnsi="Times New Roman" w:cs="Times New Roman"/>
          <w:sz w:val="24"/>
          <w:szCs w:val="24"/>
        </w:rPr>
        <w:t xml:space="preserve"> </w:t>
      </w:r>
      <w:r w:rsidRPr="004A4D3D">
        <w:rPr>
          <w:rFonts w:ascii="Times New Roman" w:hAnsi="Times New Roman" w:cs="Times New Roman"/>
          <w:sz w:val="24"/>
          <w:szCs w:val="24"/>
        </w:rPr>
        <w:t xml:space="preserve">установку выравнивателя. </w:t>
      </w:r>
    </w:p>
    <w:p w:rsidR="004A4D3D" w:rsidRPr="004A4D3D" w:rsidRDefault="004A4D3D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4A4D3D">
        <w:rPr>
          <w:rFonts w:ascii="Times New Roman" w:hAnsi="Times New Roman" w:cs="Times New Roman"/>
          <w:sz w:val="24"/>
          <w:szCs w:val="24"/>
        </w:rPr>
        <w:t xml:space="preserve">     Следует учитывать количество и размер петель, которые будут использованы для каждой дверцы. Интервал между петлями делается равномерный и должен составлять не более 450мм.</w:t>
      </w:r>
    </w:p>
    <w:p w:rsidR="004A4D3D" w:rsidRPr="004A4D3D" w:rsidRDefault="004A4D3D" w:rsidP="003622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4D3D">
        <w:rPr>
          <w:rFonts w:ascii="Times New Roman" w:hAnsi="Times New Roman" w:cs="Times New Roman"/>
          <w:sz w:val="24"/>
          <w:szCs w:val="24"/>
        </w:rPr>
        <w:t>В зависимости от высоты фасада рекомендуется следующий расчет:</w:t>
      </w:r>
    </w:p>
    <w:p w:rsidR="004A4D3D" w:rsidRPr="004A4D3D" w:rsidRDefault="004A4D3D" w:rsidP="003622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4D3D">
        <w:rPr>
          <w:rFonts w:ascii="Times New Roman" w:hAnsi="Times New Roman" w:cs="Times New Roman"/>
          <w:sz w:val="24"/>
          <w:szCs w:val="24"/>
        </w:rPr>
        <w:t>до 100 см – 2 шт.; 100-150 см – 3 шт.;150-200 см – 4 шт.;200-250 см – 5 шт.</w:t>
      </w:r>
    </w:p>
    <w:p w:rsidR="004A4D3D" w:rsidRPr="004A4D3D" w:rsidRDefault="004A4D3D" w:rsidP="004A4D3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A4D3D" w:rsidRPr="004A4D3D" w:rsidRDefault="004A4D3D" w:rsidP="003622F5">
      <w:pPr>
        <w:pStyle w:val="ac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4A4D3D">
        <w:rPr>
          <w:color w:val="000000"/>
        </w:rPr>
        <w:t xml:space="preserve">   Внимание! Одной из специфических особенностей МДФ-фасадов, является деформация, которая возникает вследствие фрезерования более плотных верхних слоёв МДФ. Это вызывает деформацию облицованного мебельного фасада — ту самую покоробленность, которая особенно проявляется при определенной комбинации габаритных размеров изделия и его толщины. Поэтому технологический процесс гарантирует исполнение указанных ГОСТом 16371–2014 допусков на покоробленность только в том случае, если конструкция мебельного фасада или детали удовлетворяет условию: С/D больше или равно 0,017, где С — толщина изделия в мм; D — диагональ изделия в мм. Если же конструкция мебельного фасада не удовлетворяет данному условию, то в рамках действующей на предприятии технологии исполнение допусков, указанных в ГОСТе 16371–2014 </w:t>
      </w:r>
      <w:r w:rsidRPr="004A4D3D">
        <w:t>п.5.2.3</w:t>
      </w:r>
      <w:r w:rsidRPr="004A4D3D">
        <w:rPr>
          <w:color w:val="000000"/>
        </w:rPr>
        <w:t>, не гарантируется. На фасадах с глубокой и частой выборкой (пример Ф230, Ф235, Ф295, Ф296, Ф297, Ф298 и т.д.), при высоте более 1000мм, необходимо устанавливать выравниватели для выполнения условий ГОСТа 16371–2014.</w:t>
      </w:r>
    </w:p>
    <w:p w:rsidR="004A4D3D" w:rsidRPr="004A4D3D" w:rsidRDefault="004A4D3D" w:rsidP="003622F5">
      <w:pPr>
        <w:pStyle w:val="ac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4A4D3D">
        <w:rPr>
          <w:color w:val="000000"/>
        </w:rPr>
        <w:t>При оформлении заказов необходимо учитывать эту особенность МДФ-фасадов и для снижения риска возникновения деформации по возможности отказываться от комплектации корпусной или встроенной мебели такими крупногабаритными мебельными фасадами и деталями, а предусматривать большее их количество на определенной площади. Такое конструктивное решение поможет предотвратить появление изгиба на деталях мебели при ее эксплуатации.</w:t>
      </w:r>
    </w:p>
    <w:p w:rsidR="004A4D3D" w:rsidRPr="004A4D3D" w:rsidRDefault="004A4D3D" w:rsidP="004A4D3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060C" w:rsidRDefault="0028060C" w:rsidP="002E70FA">
      <w:pPr>
        <w:pStyle w:val="ac"/>
        <w:rPr>
          <w:rStyle w:val="ad"/>
        </w:rPr>
      </w:pPr>
    </w:p>
    <w:p w:rsidR="0028060C" w:rsidRDefault="0028060C" w:rsidP="002E70FA">
      <w:pPr>
        <w:pStyle w:val="ac"/>
        <w:rPr>
          <w:rStyle w:val="ad"/>
        </w:rPr>
      </w:pPr>
    </w:p>
    <w:p w:rsidR="004A4D3D" w:rsidRPr="00F7388C" w:rsidRDefault="002E70FA" w:rsidP="002E70FA">
      <w:pPr>
        <w:pStyle w:val="ac"/>
        <w:rPr>
          <w:b/>
          <w:bCs/>
        </w:rPr>
      </w:pPr>
      <w:bookmarkStart w:id="0" w:name="_GoBack"/>
      <w:bookmarkEnd w:id="0"/>
      <w:r w:rsidRPr="002E70FA">
        <w:rPr>
          <w:rStyle w:val="ad"/>
        </w:rPr>
        <w:lastRenderedPageBreak/>
        <w:t>3</w:t>
      </w:r>
      <w:r w:rsidR="004A4D3D" w:rsidRPr="004A4D3D">
        <w:rPr>
          <w:rStyle w:val="ad"/>
        </w:rPr>
        <w:t>. Нормы допусков по качеству покрытия</w:t>
      </w:r>
    </w:p>
    <w:p w:rsidR="004A4D3D" w:rsidRPr="002E70FA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.1. В соответствии с общепринятыми нормами внешний вид изделий оценивается визуально при нормальных условиях с расстояния 60 см под углом 70-90 градусов к поверхности изделий при дневном освещении или идентичном дневному до установки изделий на мебельный гарнитур. Считается дефектом, если заметно в со</w:t>
      </w:r>
      <w:r>
        <w:rPr>
          <w:rFonts w:ascii="Times New Roman" w:hAnsi="Times New Roman" w:cs="Times New Roman"/>
          <w:sz w:val="24"/>
          <w:szCs w:val="24"/>
        </w:rPr>
        <w:t>ответствии с данными условиями.</w:t>
      </w:r>
    </w:p>
    <w:p w:rsidR="004A4D3D" w:rsidRPr="002E70FA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.2. Внешний вид детали контролируют визуально без применения увеличительных средств, сравнивая его с образцами, согласованн</w:t>
      </w:r>
      <w:r>
        <w:rPr>
          <w:rFonts w:ascii="Times New Roman" w:hAnsi="Times New Roman" w:cs="Times New Roman"/>
          <w:sz w:val="24"/>
          <w:szCs w:val="24"/>
        </w:rPr>
        <w:t>ыми изготовителем и заказчиком.</w:t>
      </w:r>
    </w:p>
    <w:p w:rsidR="004A4D3D" w:rsidRPr="002E70FA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.3. Допускаются незначительные изъяны, царапины волосяного типа, вмятины, сколы, вкрапления на поверхности, не влияющие на физико-механические характеристики изделий при дальнейшем использовании, скрываемые аксессуарами, днищами ящиков, светильниками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3D" w:rsidRPr="002E70FA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.4 Допускается незначительное отклонение цветового  оттенка краски на обратной стороне изделия в месте расположения интегрированной ручки, глубокой фрезеровки и на лицевой поверхности деталей высотой более 1м связа</w:t>
      </w:r>
      <w:r>
        <w:rPr>
          <w:rFonts w:ascii="Times New Roman" w:hAnsi="Times New Roman" w:cs="Times New Roman"/>
          <w:sz w:val="24"/>
          <w:szCs w:val="24"/>
        </w:rPr>
        <w:t>нные с процессом полимеризации.</w:t>
      </w:r>
    </w:p>
    <w:p w:rsidR="004A4D3D" w:rsidRPr="002E70FA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.5 Допускается просвечивание МДФ основы (недостаточная укрывистость) на обратной стороне изделия в месте расположения технологического отверстия под место установки мебель</w:t>
      </w:r>
      <w:r>
        <w:rPr>
          <w:rFonts w:ascii="Times New Roman" w:hAnsi="Times New Roman" w:cs="Times New Roman"/>
          <w:sz w:val="24"/>
          <w:szCs w:val="24"/>
        </w:rPr>
        <w:t>ной петли в радиусе 17 мм.</w:t>
      </w:r>
    </w:p>
    <w:p w:rsidR="004A4D3D" w:rsidRPr="002E70FA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.6 Допускается повышенная шероховатость, отклонение цвета, волосяные трещины внутри ин</w:t>
      </w:r>
      <w:r>
        <w:rPr>
          <w:rFonts w:ascii="Times New Roman" w:hAnsi="Times New Roman" w:cs="Times New Roman"/>
          <w:sz w:val="24"/>
          <w:szCs w:val="24"/>
        </w:rPr>
        <w:t>тегрированной ручки.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323"/>
        <w:gridCol w:w="2537"/>
        <w:gridCol w:w="2538"/>
      </w:tblGrid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4A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допусков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4A4D3D" w:rsidRPr="004A4D3D" w:rsidRDefault="004A4D3D" w:rsidP="004A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b/>
                <w:sz w:val="24"/>
                <w:szCs w:val="24"/>
              </w:rPr>
              <w:t>Для фасадов с отделкой порошковой краской</w:t>
            </w:r>
          </w:p>
        </w:tc>
      </w:tr>
      <w:tr w:rsidR="004A4D3D" w:rsidRPr="004A4D3D" w:rsidTr="004A4D3D">
        <w:trPr>
          <w:trHeight w:val="284"/>
        </w:trPr>
        <w:tc>
          <w:tcPr>
            <w:tcW w:w="2936" w:type="dxa"/>
            <w:shd w:val="clear" w:color="auto" w:fill="auto"/>
          </w:tcPr>
          <w:p w:rsidR="004A4D3D" w:rsidRPr="004A4D3D" w:rsidRDefault="004A4D3D" w:rsidP="004A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Сторона изделия</w:t>
            </w: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4A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Лицевая</w:t>
            </w: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4A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Торец</w:t>
            </w: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4A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</w:p>
        </w:tc>
      </w:tr>
      <w:tr w:rsidR="004A4D3D" w:rsidRPr="004A4D3D" w:rsidTr="004A4D3D">
        <w:trPr>
          <w:trHeight w:val="571"/>
        </w:trPr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Геометрические размеры и допуски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  <w:gridSpan w:val="3"/>
            <w:shd w:val="clear" w:color="auto" w:fill="auto"/>
          </w:tcPr>
          <w:p w:rsidR="004A4D3D" w:rsidRPr="004A4D3D" w:rsidRDefault="004A4D3D" w:rsidP="0036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Должны соответствовать значениям, зарегистрированным в принятом заказе. Образцам и значениям, указанным в каталоге продукции. </w:t>
            </w:r>
          </w:p>
          <w:p w:rsidR="004A4D3D" w:rsidRPr="004A4D3D" w:rsidRDefault="004A4D3D" w:rsidP="004A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Царапины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 риски (волосяные трещины) между слоями разной плотности МДФ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Вмятины диаметром не более 1мм, глубиной не более 0,2 мм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более 3 шт.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 не более 5 шт. на пог.м кромки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Вкрапления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под краской (пылевые, клеевые и т.п.), единичные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структурные </w:t>
            </w:r>
            <w:r w:rsidRPr="004A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неровности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по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шероховатости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шероховатость,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шероховатость,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шероховатость,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Отслоения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оттенок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Должен соответствовать утвержденному образцу из каталога красок от 90-100%. Допускаются полимеризационные полосы на деталях высотой более 1м.</w:t>
            </w: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Должен соответствовать утверждённому образцу из каталога красок от 90-100%.</w:t>
            </w: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Допускается отклонение в месте расположения интегрированной ручки, глубокой фрезеровки</w:t>
            </w: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загрязнений на деталях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Пузырьки, проколы, кратеры диаметром не более 0,5 мм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 не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более 5 шт. на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пог.м кромки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Просвечивание МДФ основы (недостаточная укрывистость)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Неравномерный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rPr>
          <w:trHeight w:val="512"/>
        </w:trPr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Разнооттеночность (выцветание)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  <w:gridSpan w:val="3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Допускается вследствие эксплуатации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rPr>
          <w:trHeight w:val="566"/>
        </w:trPr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Потеки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(сгустки) порошковой краски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 более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1мм.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 не более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3-х шт. на пог.м кромки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 не более 3-х шт. на 0,3 м2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 xml:space="preserve">Растрескивание 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порошкового покрытия на изделии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3D" w:rsidRPr="004A4D3D" w:rsidTr="004A4D3D">
        <w:tc>
          <w:tcPr>
            <w:tcW w:w="2936" w:type="dxa"/>
            <w:shd w:val="clear" w:color="auto" w:fill="auto"/>
          </w:tcPr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Риски на порошковом покрытии изделия</w:t>
            </w:r>
          </w:p>
          <w:p w:rsidR="004A4D3D" w:rsidRPr="004A4D3D" w:rsidRDefault="004A4D3D" w:rsidP="00362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4A4D3D" w:rsidRPr="004A4D3D" w:rsidRDefault="004A4D3D" w:rsidP="0036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D3D" w:rsidRPr="002E70FA" w:rsidRDefault="004A4D3D" w:rsidP="004A4D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4D3D" w:rsidRPr="004A4D3D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.7 На лицевых поверхностях мебельных деталей допускаются одновременно не более трех видов нормируемых дефектов (см. ГОСТ 16371-2014).</w:t>
      </w:r>
    </w:p>
    <w:p w:rsidR="004A4D3D" w:rsidRPr="004A4D3D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.8 Допускаются волосяные трещины по торцам мебельных деталей расположенных вдоль слоёв разной плотности МДФ.</w:t>
      </w:r>
    </w:p>
    <w:p w:rsidR="004A4D3D" w:rsidRPr="002E70FA" w:rsidRDefault="002E70FA" w:rsidP="003622F5">
      <w:pPr>
        <w:jc w:val="both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sz w:val="24"/>
          <w:szCs w:val="24"/>
        </w:rPr>
        <w:t>3</w:t>
      </w:r>
      <w:r w:rsidR="004A4D3D" w:rsidRPr="004A4D3D">
        <w:rPr>
          <w:rFonts w:ascii="Times New Roman" w:hAnsi="Times New Roman" w:cs="Times New Roman"/>
          <w:sz w:val="24"/>
          <w:szCs w:val="24"/>
        </w:rPr>
        <w:t>.9 Допускается незначительное отклонение цветового  оттенка (полосы) краски на лицевой поверхности деталей высотой более 1м связа</w:t>
      </w:r>
      <w:r>
        <w:rPr>
          <w:rFonts w:ascii="Times New Roman" w:hAnsi="Times New Roman" w:cs="Times New Roman"/>
          <w:sz w:val="24"/>
          <w:szCs w:val="24"/>
        </w:rPr>
        <w:t>нные с процессом полимеризации.</w:t>
      </w:r>
    </w:p>
    <w:p w:rsidR="004A4D3D" w:rsidRPr="002E70FA" w:rsidRDefault="004A4D3D" w:rsidP="004A4D3D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CFA" w:rsidRDefault="00B24CFA" w:rsidP="004A4D3D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0"/>
          <w:szCs w:val="20"/>
          <w:lang w:eastAsia="ru-RU"/>
        </w:rPr>
      </w:pPr>
    </w:p>
    <w:tbl>
      <w:tblPr>
        <w:tblW w:w="92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25"/>
        <w:gridCol w:w="4673"/>
      </w:tblGrid>
      <w:tr w:rsidR="00B24CFA">
        <w:tc>
          <w:tcPr>
            <w:tcW w:w="4625" w:type="dxa"/>
            <w:shd w:val="clear" w:color="auto" w:fill="auto"/>
          </w:tcPr>
          <w:p w:rsidR="004A4D3D" w:rsidRDefault="004A4D3D" w:rsidP="004A4D3D">
            <w:pPr>
              <w:tabs>
                <w:tab w:val="left" w:pos="240"/>
              </w:tabs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Поставщик:</w:t>
            </w:r>
          </w:p>
          <w:p w:rsidR="004A4D3D" w:rsidRPr="008D287F" w:rsidRDefault="004A4D3D" w:rsidP="004A4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ООО «Фасадель»</w:t>
            </w:r>
          </w:p>
          <w:p w:rsidR="004A4D3D" w:rsidRPr="008D287F" w:rsidRDefault="004A4D3D" w:rsidP="004A4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A4D3D" w:rsidRDefault="004A4D3D" w:rsidP="004A4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A4D3D" w:rsidRPr="004A4D3D" w:rsidRDefault="004A4D3D" w:rsidP="004A4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директор_________/А.А. Решетников /</w:t>
            </w:r>
          </w:p>
          <w:p w:rsidR="00B24CFA" w:rsidRDefault="00B24CF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672" w:type="dxa"/>
            <w:shd w:val="clear" w:color="auto" w:fill="auto"/>
          </w:tcPr>
          <w:p w:rsidR="00B24CFA" w:rsidRDefault="00B24CF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114"/>
              <w:jc w:val="lef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B24CFA" w:rsidRPr="008D287F" w:rsidRDefault="00B24CFA">
      <w:pPr>
        <w:tabs>
          <w:tab w:val="left" w:pos="210"/>
        </w:tabs>
        <w:jc w:val="left"/>
        <w:rPr>
          <w:rFonts w:ascii="Times New Roman" w:hAnsi="Times New Roman" w:cs="Times New Roman"/>
          <w:sz w:val="20"/>
          <w:szCs w:val="20"/>
        </w:rPr>
      </w:pPr>
    </w:p>
    <w:sectPr w:rsidR="00B24CFA" w:rsidRPr="008D287F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96" w:rsidRDefault="000A6A96">
      <w:pPr>
        <w:spacing w:line="240" w:lineRule="auto"/>
      </w:pPr>
      <w:r>
        <w:separator/>
      </w:r>
    </w:p>
  </w:endnote>
  <w:endnote w:type="continuationSeparator" w:id="0">
    <w:p w:rsidR="000A6A96" w:rsidRDefault="000A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96" w:rsidRDefault="000A6A96">
      <w:pPr>
        <w:spacing w:after="0" w:line="240" w:lineRule="auto"/>
      </w:pPr>
      <w:r>
        <w:separator/>
      </w:r>
    </w:p>
  </w:footnote>
  <w:footnote w:type="continuationSeparator" w:id="0">
    <w:p w:rsidR="000A6A96" w:rsidRDefault="000A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91"/>
    <w:rsid w:val="000823D8"/>
    <w:rsid w:val="000A6A96"/>
    <w:rsid w:val="000B45AC"/>
    <w:rsid w:val="000F1C45"/>
    <w:rsid w:val="001140EE"/>
    <w:rsid w:val="00121BC1"/>
    <w:rsid w:val="001368E6"/>
    <w:rsid w:val="00173ABC"/>
    <w:rsid w:val="001C34A9"/>
    <w:rsid w:val="00202012"/>
    <w:rsid w:val="00210B44"/>
    <w:rsid w:val="00245897"/>
    <w:rsid w:val="00257BCA"/>
    <w:rsid w:val="002711F5"/>
    <w:rsid w:val="0028060C"/>
    <w:rsid w:val="0029488E"/>
    <w:rsid w:val="002B4E8F"/>
    <w:rsid w:val="002E04A2"/>
    <w:rsid w:val="002E70FA"/>
    <w:rsid w:val="003622F5"/>
    <w:rsid w:val="00376FD5"/>
    <w:rsid w:val="004048EA"/>
    <w:rsid w:val="00493902"/>
    <w:rsid w:val="004A4D3D"/>
    <w:rsid w:val="00500FBE"/>
    <w:rsid w:val="005248C4"/>
    <w:rsid w:val="00590191"/>
    <w:rsid w:val="005C6516"/>
    <w:rsid w:val="005F36D8"/>
    <w:rsid w:val="00646717"/>
    <w:rsid w:val="006766B8"/>
    <w:rsid w:val="006A4F11"/>
    <w:rsid w:val="006E22F5"/>
    <w:rsid w:val="006F0841"/>
    <w:rsid w:val="00717955"/>
    <w:rsid w:val="007B6668"/>
    <w:rsid w:val="007C38C1"/>
    <w:rsid w:val="008236BF"/>
    <w:rsid w:val="008A2DD3"/>
    <w:rsid w:val="008D287F"/>
    <w:rsid w:val="008F2568"/>
    <w:rsid w:val="00934266"/>
    <w:rsid w:val="009D377B"/>
    <w:rsid w:val="00A20DA2"/>
    <w:rsid w:val="00A22BEA"/>
    <w:rsid w:val="00A32663"/>
    <w:rsid w:val="00A40DD4"/>
    <w:rsid w:val="00A82FDF"/>
    <w:rsid w:val="00AE4A40"/>
    <w:rsid w:val="00AF3689"/>
    <w:rsid w:val="00B24CFA"/>
    <w:rsid w:val="00B702E0"/>
    <w:rsid w:val="00B9203E"/>
    <w:rsid w:val="00BC05FA"/>
    <w:rsid w:val="00C77C40"/>
    <w:rsid w:val="00C80809"/>
    <w:rsid w:val="00CE6E27"/>
    <w:rsid w:val="00D1314E"/>
    <w:rsid w:val="00D341AD"/>
    <w:rsid w:val="00D62E04"/>
    <w:rsid w:val="00D74C0F"/>
    <w:rsid w:val="00DA5A76"/>
    <w:rsid w:val="00DE06C5"/>
    <w:rsid w:val="00E35E63"/>
    <w:rsid w:val="00E70A43"/>
    <w:rsid w:val="00EC242A"/>
    <w:rsid w:val="00F36AEF"/>
    <w:rsid w:val="00F7388C"/>
    <w:rsid w:val="00F84B6E"/>
    <w:rsid w:val="00FC0241"/>
    <w:rsid w:val="00FD6E5A"/>
    <w:rsid w:val="257F7AD9"/>
    <w:rsid w:val="456C55B1"/>
    <w:rsid w:val="4E127DB8"/>
    <w:rsid w:val="73F2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5FDD"/>
  <w15:docId w15:val="{BE8ECC17-D687-4C1B-B5DE-BC7D87C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table" w:styleId="ab">
    <w:name w:val="Table Grid"/>
    <w:basedOn w:val="a1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c">
    <w:name w:val="Normal (Web)"/>
    <w:basedOn w:val="a"/>
    <w:uiPriority w:val="99"/>
    <w:rsid w:val="004A4D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A4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5C893-424D-4B0B-9B9D-512F1083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Борофанова Ольга Игоревна</cp:lastModifiedBy>
  <cp:revision>4</cp:revision>
  <cp:lastPrinted>2022-10-25T08:08:00Z</cp:lastPrinted>
  <dcterms:created xsi:type="dcterms:W3CDTF">2023-04-27T05:32:00Z</dcterms:created>
  <dcterms:modified xsi:type="dcterms:W3CDTF">2023-05-17T13:34:00Z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